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20 vom 13. Mai 2011</w:t>
      </w:r>
    </w:p>
    <w:p>
      <w:r>
        <w:t>GR Gerichte, 2011-05-13, DE</w:t>
      </w:r>
    </w:p>
    <w:p>
      <w:r>
        <w:rPr>
          <w:b/>
        </w:rPr>
        <w:t xml:space="preserve">Quelle: </w:t>
      </w:r>
      <w:r>
        <w:t>https://mcp.opencaselaw.ch/entscheid/gr_gerichte_KSK 2011 20</w:t>
      </w:r>
    </w:p>
    <w:p>
      <w:r>
        <w:t>FR: GR_GERICHTE KSK 2011 20 du 13 mai 2011</w:t>
      </w:r>
    </w:p>
    <w:p>
      <w:r>
        <w:t>IT: GR_GERICHTE KSK 2011 20 del 13 maggio 2011</w:t>
      </w:r>
    </w:p>
    <w:p>
      <w:pPr>
        <w:pStyle w:val="Heading2"/>
      </w:pPr>
      <w:r>
        <w:t>Regeste</w:t>
      </w:r>
    </w:p>
    <w:p>
      <w:r>
        <w:t>provisorische Rechtsöffnung | Rechtsöffnung</w:t>
      </w:r>
    </w:p>
    <w:p>
      <w:pPr>
        <w:pStyle w:val="Heading2"/>
      </w:pPr>
      <w:r>
        <w:t>Erwägungen</w:t>
      </w:r>
    </w:p>
    <w:p>
      <w:r>
        <w:rPr>
          <w:b/>
        </w:rPr>
        <w:t>E. 1</w:t>
      </w:r>
    </w:p>
    <w:p>
      <w:r>
        <w:t>Das Rechtsöffnungsgesuch des Gesuchstellers vom 15. November 2010 in der Betreibung Nr. xxx des Betreibungsamtes K. wird gutgeheissen und es wird dem Gesuchsteller für den Betrag von CHF 4'325.50, zuzüglich Zins zu 5% seit 6. Juni 2010, provisorische Rechtsöffnung erteilt.</w:t>
      </w:r>
    </w:p>
    <w:p>
      <w:r>
        <w:rPr>
          <w:b/>
        </w:rPr>
        <w:t>E. 2</w:t>
      </w:r>
    </w:p>
    <w:p>
      <w:r>
        <w:t>Die Kosten des Rechtsöffnungsverfahrens im Betrage von CHF 200.– ge- hen zulasten der Gesuchsgegnerin. Sie werden beim Gesuchsteller unter Regresserteilung auf die Gesuchsgegnerin erhoben und sind innert 30 Tagen auf das PC-Konto xxx des Bezirksgerichts B. zu überweisen. Die Gesuchsgegnerin wird verpflichtet, den Gesuchsteller ausseramtlich mit CHF 300.– zu entschädigen.</w:t>
      </w:r>
    </w:p>
    <w:p>
      <w:r>
        <w:rPr>
          <w:b/>
        </w:rPr>
        <w:t>E. 3</w:t>
      </w:r>
    </w:p>
    <w:p>
      <w:r>
        <w:t>(Rechtsmittelbelehrung).</w:t>
      </w:r>
    </w:p>
    <w:p>
      <w:r>
        <w:rPr>
          <w:b/>
        </w:rPr>
        <w:t>E. 4</w:t>
      </w:r>
    </w:p>
    <w:p>
      <w:r>
        <w:t>Wie bereits ausgeführt, eignet sich eine Privaturkunde nur dann als Schuld- anerkennung und somit als provisorischer Rechtsöffnungstitel, wenn sie unter- zeichnet ist. Gemäss Lehre und Rechtsprechung kann die Urkunde die Unter- schrift des Schuldners oder seines Vertreters tragen. Ist die Urkunde durch einen Vertreter des Schuldners unterzeichnet, muss das Vertretungsverhältnis auch ur- kundlich nachgewiesen werden oder zumindest liquid ausgewiesen sein (vgl. Stücheli, Die Rechtsöffnung, Zürich 2000, S. 334 f.; BGE 112 III 88; PKG 1989 Nr. 32; PKG 1991 Nr. 29). Fehlt es an einer das Vertretungsverhältnis belegenden Urkunde und ist das Vertretungsverhältnis auch nicht gerichtsnotorisch, so besteht kein Rechtsöffnungstitel, was von Amtes wegen zu beachten ist (vgl. Staehe- lin/Bauer/Staehelin, a.a.O., Art. 82 N. 57). a) Die Rechnung Nr. 5220 vom 15. Mai 2010 stellt weder eine öffentliche Ur- kunde noch eine Schuldanerkennung im Sinne von Art. 82 Abs. 1 SchKG dar. Die eigenhändige Unterschrift des Schuldners auf der Rechnung ist Voraussetzung, um als provisorischer Rechtsöffnungstitel anerkannt zu werden. Die Rechnung Nr. 5220 vom 15. Mai 2010 wurde aber von der X. nicht unterzeichnet. Aus ihr er- gibt sich des Weiteren nicht der klare Wille des Schuldners zur Zahlung seiner Schuld. Die X. hat denn auch die Rechnung mit Schreiben vom 23. Juni 2010 (act. 6) zurückgewiesen und somit nicht anerkannt. Daher stellt die Rechnung Nr. 5220 keine Schuldanerkennung im Sinne von Art. 82 SchKG dar und taugt deshalb auch nicht als Rechtsöffnungstitel (vgl. Gauch, Der Werkvertrag, 4. Aufl., Zürich 1996, N. 1264).</w:t>
      </w:r>
    </w:p>
    <w:p>
      <w:r>
        <w:t>Seite 8 — 10 b) Regierapporte stellen keine Urkunden dar (vgl. BGE 117 IV 165, 169 E. 2c; Trechsel et al., Schweizerisches Strafgesetzbuch, Zürich/St. Gallen 2008, vor Art. 251 N. 23). Sie dienen lediglich dem Beweis für den geleisteten Arbeitsaufwand und für das erhaltene Material. Den bei den Akten liegenden Regierapporten kön- nen die ausgeführten Arbeiten, die Anzahl Arbeiter und Arbeitsstunden sowie das verwendete Material entnommen werden. Gemäss herrschender Lehre stellen Regierapporte aber noch keine Schuldanerkennung im Sinne von Art. 82 SchKG dar (vgl. ZBJV 2010, S. 1043; Gauch, a.a.O., N. 1028). Ausserdem bestreitet die Beschwerdeführerin, dass die Regiearbeiten je genehmigt sowie, dass die Arbeits- rapporte durch eine vertretungsbefugte Person unterzeichnet worden seien. Des Weiteren wendet sie ein, die fraglichen Arbeiten seien nicht ausgeführt worden. Es fällt auf, dass die sich auf den Arbeitsrapporten befindenden Unterschrif- ten seitens des Auftraggebers mit keiner Unterschrift übereinstimmen, welche sich bei den Akten befindet. Weder stimmt sie mit der Unterschrift von D. (act. 18) übe- rein noch mit jenen Unterschriften auf der Anwaltsvollmacht (act. 15) bzw. auf den Briefen der X. an Z. (act. 6, 7). Wer die Regierapporte unterzeichnet hat, ist unklar. Urkunden, welche eine Vertretungsbefugnis nachweisen, liegen im vorliegenden Fall keine bei den Akten. Es stellt sich somit die Frage, ob anderweitige Dokumen- te existieren, welche den Anschein des Bestehens einer Vollmacht erweckt haben oder eine Vollmacht durch konkludentes Handeln des Schuldners nachgewiesen werden kann. Diese Frage kann jedoch offen gelassen werden. Die vorliegenden Arbeitsrapporte stellen für sich alleine keine Schuldanerkennung dar, da aus ihnen nicht der vorbehalt- und bedingungslose Wille des Betriebenen hervorgeht, dem Betreibenden eine bestimmte oder leicht bestimmbare Geldsumme zu zahlen. Die Höhe der Forderung muss in der Schuldanerkennung oder in einem darauf ver- weisenden Schriftstück beziffert werden (Staehelin/Bauer/Staehelin, a.a.O., Art. 82 N. 25). Da die Höhe der Forderung aus den Regierapporten nicht beziffert werden kann, bleibt zu prüfen, ob die Regierapporte zusammen mit dem Werkvertrag eine Schuldanerkennung bilden könnten.</w:t>
      </w:r>
    </w:p>
    <w:p>
      <w:r>
        <w:rPr>
          <w:b/>
        </w:rPr>
        <w:t>E. 5</w:t>
      </w:r>
    </w:p>
    <w:p>
      <w:r>
        <w:t>Eine Schuldanerkennung kann sich auch aus einer Gesamtheit der Urkun- den ergeben. Die notwendigen Elemente müssen jedoch daraus hervorgehen (BGE 132 III 480, 481 E. 4.1; PKG 1987 Nr. 29). Mit anderen Worten muss die unterzeichnete Urkunde auf die Schriftstücke verweisen, welche die Schuld be- tragsmässig ausweisen, klar und mittelbar Bezug nehmen bzw. verweisen (PKG 1991 Nr. 30; Amonn/Walther, a.a.O., § 19 N. 68). Die Bezugsnahme auf das den Betrag nennende Schriftstück muss explizit sein (Bundesgerichtsentscheid</w:t>
      </w:r>
    </w:p>
    <w:p>
      <w:r>
        <w:t>Seite 9 — 10 5P.380/2005 vom 27. März 2006, E. 4.2; Staehelin/Bauer/Staehelin, a.a.O., Art. 82 N. 15). Keiner der Regierapporte verweist auf den Werkvertrag vom 10. Oktober 2009. Es fehlt vorliegend an einer expliziten Bezugnahme auf das den Betrag nennende Schriftstück. Aus den Rapporten ist nicht ersichtlich, gestützt worauf Z. tätig geworden ist. Selbst wenn die Regierapporte auf den Werkvertrag verweisen würden, würde sich keine Schuldanerkennung aus einer Gesamtheit von Urkun- den ergeben, da der Werkvertrag – wie bereits ausgeführt – von der X. nicht un- terschrieben worden ist und die Regierapporte keine Urkunden darstellen. Eine Schuldanerkennung aus einer Gesamtheit von Urkunden liegt somit nicht vor, weshalb die provisorische Rechtsöffnung nicht erteilt werden kann.</w:t>
      </w:r>
    </w:p>
    <w:p>
      <w:r>
        <w:rPr>
          <w:b/>
        </w:rPr>
        <w:t>E. 6</w:t>
      </w:r>
    </w:p>
    <w:p>
      <w:r>
        <w:t>Das Kantonsgericht von Graubünden kommt aufgrund dieser Ausführungen zum Schluss, dass die Beschwerde gutzuheissen ist und die provisorische Rechtsöffnung nicht erteilt werden kann. Es sei aber noch bemerkt, dass es dem Beschwerdegegner unbenommen bleibt, eine Klage im ordentlichen Verfahren mit allen ihm zur Verfügung stehenden Beweismitteln anzuheben (Art. 79 SchKG). Ob er mit einer solchen Klage durchzudringen vermag, ist an dieser Stelle nicht zu beantworten und wird ausdrücklich offen gelassen.</w:t>
      </w:r>
    </w:p>
    <w:p>
      <w:r>
        <w:rPr>
          <w:b/>
        </w:rPr>
        <w:t>E. 7</w:t>
      </w:r>
    </w:p>
    <w:p>
      <w:r>
        <w:t>Bei diesem Ausgang des Verfahrens gehen die Kosten des Rechtsöff- nungsverfahrens von Fr. 200.– und des Beschwerdeverfahrens von Fr. 300.– zu Lasten des Beschwerdegegners (vgl. Art. 48 in Verbindung mit Art. 61 Abs. 1 der Gebührenverordnung zum Bundesgesetz über Schuldbetreibung und Konkurs [GebV SchKG; SR 281.35]). Die anwaltlich vertretene Beschwerdeführerin hatte sowohl vor der Vorinstanz als auch im Beschwerdeverfahren einen Aufwand, wel- cher angemessen zu entschädigen ist. Der Beschwerdegegner hat die Beschwer- deführerin daher für das erstinstanzliche Verfahren mit Fr. 800.– (inkl. MwSt.) so- wie für das Beschwerdeverfahren mit Fr. 600.– (inkl. MwSt.) zu entschädigen.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